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zdnriyk7puyu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9325"/>
                          <a:ext cx="5885815" cy="561340"/>
                          <a:chOff x="2403075" y="3499325"/>
                          <a:chExt cx="5885825" cy="561350"/>
                        </a:xfrm>
                      </wpg:grpSpPr>
                      <wpg:grpSp>
                        <wpg:cNvGrpSpPr/>
                        <wpg:grpSpPr>
                          <a:xfrm>
                            <a:off x="2403093" y="3499330"/>
                            <a:ext cx="5885815" cy="561340"/>
                            <a:chOff x="2311653" y="3594580"/>
                            <a:chExt cx="6068695" cy="4109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41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410959"/>
                              <a:chOff x="0" y="0"/>
                              <a:chExt cx="6068695" cy="41095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80625" y="8286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sobre planes operativos de emergencias.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Esta propuesta busca capacitar a diversos actores sociales en la identificación temprana de riesgos y amenazas en sus comunidades, proporcionando herramientas prácticas para elaborar planes operativos de manejo de emergencias, adaptados a la diversidad del territorio bonaerense, con el objetivo de lograr una respuesta eficaz, identificar sectores vulnerables y construir comunidades resilientes y equitativas, fortaleciendo la planificación, profesionalizando los equipos de respuesta y mejorando la comunicación institucional en los sistemas de protección civil local.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 y/o virtual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2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fechas tentativas de inicio junio y septiembre.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CIC221IvavLkEyVO6/bUVJUkiA==">CgMxLjAyDmguemRucml5azdwdXl1OAByITFKMnJQOWlvbWtKZHljUTVmSUVLdkhZb2hOa2Zfdmx0NA==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2025-05-06T16:57:00Z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